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431A2" w14:textId="2DC5CAEF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ab/>
      </w:r>
      <w:r w:rsidR="00D24B96" w:rsidRPr="00D24B96">
        <w:rPr>
          <w:rFonts w:ascii="Arial" w:hAnsi="Arial" w:cs="Arial"/>
          <w:b/>
          <w:bCs/>
          <w:sz w:val="22"/>
          <w:szCs w:val="22"/>
        </w:rPr>
        <w:t>S3-250461</w:t>
      </w:r>
    </w:p>
    <w:p w14:paraId="11C88A41" w14:textId="28CC29F2" w:rsidR="001E489F" w:rsidRPr="007861B8" w:rsidRDefault="005B20E7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sz w:val="22"/>
          <w:szCs w:val="22"/>
        </w:rPr>
        <w:t>Athens, Greece, Feb 17 – 21,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A61E539" w:rsidR="001E489F" w:rsidRPr="006C2E80" w:rsidRDefault="001E489F" w:rsidP="00684E44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EF3712">
        <w:rPr>
          <w:rFonts w:ascii="Arial" w:hAnsi="Arial"/>
          <w:b/>
          <w:sz w:val="24"/>
          <w:szCs w:val="24"/>
          <w:lang w:val="en-US" w:eastAsia="zh-CN"/>
        </w:rPr>
        <w:t>CableLabs</w:t>
      </w:r>
      <w:proofErr w:type="spellEnd"/>
      <w:r w:rsidR="00CB63DB">
        <w:rPr>
          <w:rFonts w:ascii="Arial" w:hAnsi="Arial"/>
          <w:b/>
          <w:sz w:val="24"/>
          <w:szCs w:val="24"/>
          <w:lang w:val="en-US" w:eastAsia="zh-CN"/>
        </w:rPr>
        <w:t>, Charter Communications</w:t>
      </w:r>
      <w:r w:rsidR="00524565">
        <w:rPr>
          <w:rFonts w:ascii="Arial" w:hAnsi="Arial"/>
          <w:b/>
          <w:sz w:val="24"/>
          <w:szCs w:val="24"/>
          <w:lang w:val="en-US" w:eastAsia="zh-CN"/>
        </w:rPr>
        <w:t>,</w:t>
      </w:r>
      <w:r w:rsidR="00524565" w:rsidRPr="00524565">
        <w:rPr>
          <w:rFonts w:ascii="Calibri" w:hAnsi="Calibri" w:cs="Calibri"/>
          <w:color w:val="212121"/>
          <w:sz w:val="22"/>
          <w:szCs w:val="22"/>
        </w:rPr>
        <w:t xml:space="preserve"> </w:t>
      </w:r>
      <w:r w:rsidR="00524565" w:rsidRPr="00524565">
        <w:rPr>
          <w:rFonts w:ascii="Arial" w:hAnsi="Arial"/>
          <w:b/>
          <w:sz w:val="24"/>
          <w:szCs w:val="24"/>
          <w:lang w:eastAsia="zh-CN"/>
        </w:rPr>
        <w:t>Lenovo</w:t>
      </w:r>
      <w:r w:rsidR="00531A71">
        <w:rPr>
          <w:rFonts w:ascii="Arial" w:hAnsi="Arial"/>
          <w:b/>
          <w:sz w:val="24"/>
          <w:szCs w:val="24"/>
          <w:lang w:eastAsia="zh-CN"/>
        </w:rPr>
        <w:t>, Nokia</w:t>
      </w:r>
      <w:r w:rsidR="00684E44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684E44" w:rsidRPr="00684E44">
        <w:rPr>
          <w:rFonts w:ascii="Arial" w:hAnsi="Arial"/>
          <w:b/>
          <w:sz w:val="24"/>
          <w:szCs w:val="24"/>
          <w:lang w:eastAsia="zh-CN"/>
        </w:rPr>
        <w:t>Nokia Shanghai Bell</w:t>
      </w:r>
    </w:p>
    <w:p w14:paraId="49D92DA3" w14:textId="536305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F3712">
        <w:rPr>
          <w:rFonts w:ascii="Arial" w:eastAsia="Batang" w:hAnsi="Arial" w:cs="Arial"/>
          <w:b/>
          <w:sz w:val="24"/>
          <w:szCs w:val="24"/>
          <w:lang w:eastAsia="zh-CN"/>
        </w:rPr>
        <w:t>Key Derivation for QUIC/TLS in ATSSS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EC7DC5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F3712" w:rsidRPr="00EF371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Key Derivation for QUIC/TLS in ATSSS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17B94AC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F37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QUIC_TLS_KD</w:t>
      </w:r>
      <w:r w:rsidR="007E0BB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1E7B77F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84814" w:rsidRPr="00A84814">
        <w:rPr>
          <w:rFonts w:ascii="Arial" w:eastAsia="Times New Roman" w:hAnsi="Arial" w:cs="Times New Roman"/>
          <w:i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2EB4A15" w:rsidR="00A84814" w:rsidRDefault="00A84814" w:rsidP="00A8481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85CD9C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132DCC8A" w:rsidR="00A84814" w:rsidRDefault="00A84814" w:rsidP="00A8481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672F359E" w:rsidR="00A84814" w:rsidRDefault="00EF3712" w:rsidP="00E64BEC">
            <w:pPr>
              <w:pStyle w:val="TAL"/>
            </w:pPr>
            <w:r w:rsidRPr="00EF3712">
              <w:t>1030037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92DE" w14:textId="4788B59C" w:rsidR="00A84814" w:rsidRPr="00D43FD2" w:rsidRDefault="00EF3712" w:rsidP="00E64BEC">
            <w:pPr>
              <w:pStyle w:val="TAL"/>
            </w:pPr>
            <w:r w:rsidRPr="00EF3712">
              <w:t>Study on security aspects for Multi-Access (</w:t>
            </w:r>
            <w:proofErr w:type="spellStart"/>
            <w:r w:rsidRPr="00EF3712">
              <w:t>DualSteer</w:t>
            </w:r>
            <w:proofErr w:type="spellEnd"/>
            <w:r w:rsidRPr="00EF3712">
              <w:t xml:space="preserve"> + ATSSS Ph-4)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5F3DA71C" w:rsidR="00A84814" w:rsidRPr="000F27E0" w:rsidRDefault="00EF3712" w:rsidP="00A84814">
            <w:pPr>
              <w:pStyle w:val="Guidance"/>
            </w:pPr>
            <w:r>
              <w:t xml:space="preserve">Key derivation for protecting MPQUIC/TLS between UE and UPF has already been studied. </w:t>
            </w:r>
            <w:r w:rsidR="00A84814" w:rsidRPr="000F27E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4814139E" w:rsidR="001D0532" w:rsidRPr="006079DC" w:rsidRDefault="00EF3712" w:rsidP="001D0532">
      <w:pPr>
        <w:spacing w:after="180"/>
        <w:rPr>
          <w:rFonts w:eastAsia="MS Mincho"/>
        </w:rPr>
      </w:pPr>
      <w:r>
        <w:rPr>
          <w:rFonts w:eastAsia="MS Mincho"/>
        </w:rPr>
        <w:t>In TS 23.501, QUIC</w:t>
      </w:r>
      <w:r w:rsidR="001E6504">
        <w:rPr>
          <w:rFonts w:eastAsia="MS Mincho"/>
        </w:rPr>
        <w:t xml:space="preserve"> with multipath extensions (MPQUIC)</w:t>
      </w:r>
      <w:r>
        <w:rPr>
          <w:rFonts w:eastAsia="MS Mincho"/>
        </w:rPr>
        <w:t xml:space="preserve"> is specified for ATSSS, which mandates the use of TLS for transport layer protection. In TS 33.501, Annex </w:t>
      </w:r>
      <w:r w:rsidR="0061622E">
        <w:rPr>
          <w:rFonts w:eastAsia="MS Mincho"/>
        </w:rPr>
        <w:t xml:space="preserve">AA </w:t>
      </w:r>
      <w:r>
        <w:rPr>
          <w:rFonts w:eastAsia="MS Mincho"/>
        </w:rPr>
        <w:t xml:space="preserve">is specified </w:t>
      </w:r>
      <w:r w:rsidR="00CB63DB">
        <w:rPr>
          <w:rFonts w:eastAsia="MS Mincho"/>
        </w:rPr>
        <w:t>for</w:t>
      </w:r>
      <w:r>
        <w:rPr>
          <w:rFonts w:eastAsia="MS Mincho"/>
        </w:rPr>
        <w:t xml:space="preserve"> </w:t>
      </w:r>
      <w:r w:rsidR="00337784">
        <w:rPr>
          <w:rFonts w:eastAsia="MS Mincho"/>
        </w:rPr>
        <w:t>certificate-based</w:t>
      </w:r>
      <w:r>
        <w:rPr>
          <w:rFonts w:eastAsia="MS Mincho"/>
        </w:rPr>
        <w:t xml:space="preserve"> authentication of </w:t>
      </w:r>
      <w:r w:rsidR="00337784">
        <w:rPr>
          <w:rFonts w:eastAsia="MS Mincho"/>
        </w:rPr>
        <w:t xml:space="preserve">UPF by the UE during QUIC/TLS establishment. However, QUIC/TLS </w:t>
      </w:r>
      <w:r w:rsidR="00CB63DB">
        <w:rPr>
          <w:rFonts w:eastAsia="MS Mincho"/>
        </w:rPr>
        <w:t xml:space="preserve">is currently </w:t>
      </w:r>
      <w:r w:rsidR="00337784">
        <w:rPr>
          <w:rFonts w:eastAsia="MS Mincho"/>
        </w:rPr>
        <w:t xml:space="preserve">only one-way </w:t>
      </w:r>
      <w:r w:rsidR="00337784" w:rsidRPr="0061622E">
        <w:rPr>
          <w:rFonts w:eastAsia="MS Mincho"/>
        </w:rPr>
        <w:t>authentication</w:t>
      </w:r>
      <w:r w:rsidR="00337784" w:rsidRPr="001E6504">
        <w:rPr>
          <w:rFonts w:eastAsia="MS Mincho"/>
          <w:color w:val="FF0000"/>
        </w:rPr>
        <w:t xml:space="preserve"> </w:t>
      </w:r>
      <w:r w:rsidR="00337784">
        <w:rPr>
          <w:rFonts w:eastAsia="MS Mincho"/>
        </w:rPr>
        <w:t xml:space="preserve">of UPF by the UE, which is insufficient. Further, it requires provisioning of </w:t>
      </w:r>
      <w:r w:rsidR="001E6504">
        <w:rPr>
          <w:rFonts w:eastAsia="MS Mincho"/>
        </w:rPr>
        <w:t xml:space="preserve">the </w:t>
      </w:r>
      <w:r w:rsidR="00337784">
        <w:rPr>
          <w:rFonts w:eastAsia="MS Mincho"/>
        </w:rPr>
        <w:t>certificates</w:t>
      </w:r>
      <w:r w:rsidR="00CB63DB">
        <w:rPr>
          <w:rFonts w:eastAsia="MS Mincho"/>
        </w:rPr>
        <w:t xml:space="preserve"> in UPF</w:t>
      </w:r>
      <w:r w:rsidR="00337784">
        <w:rPr>
          <w:rFonts w:eastAsia="MS Mincho"/>
        </w:rPr>
        <w:t xml:space="preserve">, as well as </w:t>
      </w:r>
      <w:r w:rsidR="00CB63DB">
        <w:rPr>
          <w:rFonts w:eastAsia="MS Mincho"/>
        </w:rPr>
        <w:t xml:space="preserve">provisioning of </w:t>
      </w:r>
      <w:r w:rsidR="00337784">
        <w:rPr>
          <w:rFonts w:eastAsia="MS Mincho"/>
        </w:rPr>
        <w:t xml:space="preserve">certificate trust anchors in the UE, both of which impose operational overhead for operators. </w:t>
      </w:r>
    </w:p>
    <w:p w14:paraId="64D73C9B" w14:textId="36E4803A" w:rsidR="00B303F7" w:rsidRDefault="00337784" w:rsidP="00A84814">
      <w:pPr>
        <w:rPr>
          <w:rFonts w:eastAsiaTheme="minorEastAsia"/>
        </w:rPr>
      </w:pPr>
      <w:r>
        <w:rPr>
          <w:lang w:eastAsia="zh-CN"/>
        </w:rPr>
        <w:t xml:space="preserve">It is important to allow pre-shared key (PSK) based mutually authentication between UE and UPF over QUIC/TLS by leveraging existing 5G key derivation </w:t>
      </w:r>
      <w:r w:rsidR="001E6504">
        <w:rPr>
          <w:lang w:eastAsia="zh-CN"/>
        </w:rPr>
        <w:t xml:space="preserve">capabilities. </w:t>
      </w:r>
      <w:r w:rsidR="0061622E">
        <w:rPr>
          <w:lang w:eastAsia="zh-CN"/>
        </w:rPr>
        <w:t>The PSK</w:t>
      </w:r>
      <w:r>
        <w:rPr>
          <w:lang w:eastAsia="zh-CN"/>
        </w:rPr>
        <w:t xml:space="preserve">-based mutually authenticated QUIC/TLS </w:t>
      </w:r>
      <w:r w:rsidR="00CB63DB">
        <w:rPr>
          <w:lang w:eastAsia="zh-CN"/>
        </w:rPr>
        <w:t xml:space="preserve">both </w:t>
      </w:r>
      <w:r>
        <w:rPr>
          <w:lang w:eastAsia="zh-CN"/>
        </w:rPr>
        <w:t>improves security over one-way certificate-based authentication, and eliminates operational overhead related to certificate and trust anchor provisioning in UPF and UE.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F3CA4BD" w14:textId="7778DE8F" w:rsidR="00A84814" w:rsidRPr="00233EDB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</w:t>
      </w:r>
      <w:r w:rsidR="00337784">
        <w:rPr>
          <w:i w:val="0"/>
        </w:rPr>
        <w:t xml:space="preserve">key derivation function and key delivery </w:t>
      </w:r>
      <w:r w:rsidR="00CB63DB">
        <w:rPr>
          <w:i w:val="0"/>
        </w:rPr>
        <w:t xml:space="preserve">mechanism </w:t>
      </w:r>
      <w:r w:rsidR="00337784">
        <w:rPr>
          <w:i w:val="0"/>
        </w:rPr>
        <w:t xml:space="preserve">for PSK based QUIC/TLS between UE and UPF. </w:t>
      </w:r>
      <w:r w:rsidR="00164BFB">
        <w:rPr>
          <w:i w:val="0"/>
        </w:rPr>
        <w:t>Specifically, t</w:t>
      </w:r>
      <w:r w:rsidR="00672FC6" w:rsidRPr="00672FC6">
        <w:rPr>
          <w:i w:val="0"/>
        </w:rPr>
        <w:t xml:space="preserve">he </w:t>
      </w:r>
      <w:r w:rsidR="00164BFB"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24638EB8" w14:textId="311FD332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1. </w:t>
      </w:r>
      <w:r w:rsidR="00337784">
        <w:rPr>
          <w:i w:val="0"/>
        </w:rPr>
        <w:t>Key derivation function of deriving K</w:t>
      </w:r>
      <w:r w:rsidR="00337784" w:rsidRPr="00337784">
        <w:rPr>
          <w:i w:val="0"/>
          <w:vertAlign w:val="subscript"/>
        </w:rPr>
        <w:t>UPF</w:t>
      </w:r>
      <w:r w:rsidR="00337784">
        <w:rPr>
          <w:i w:val="0"/>
          <w:vertAlign w:val="subscript"/>
        </w:rPr>
        <w:t xml:space="preserve"> </w:t>
      </w:r>
      <w:r w:rsidR="00337784" w:rsidRPr="00337784">
        <w:rPr>
          <w:i w:val="0"/>
        </w:rPr>
        <w:t>from K</w:t>
      </w:r>
      <w:r w:rsidR="00337784" w:rsidRPr="00337784">
        <w:rPr>
          <w:i w:val="0"/>
          <w:vertAlign w:val="subscript"/>
        </w:rPr>
        <w:t>AMF</w:t>
      </w:r>
      <w:r w:rsidR="00F51D8B">
        <w:rPr>
          <w:i w:val="0"/>
          <w:vertAlign w:val="subscript"/>
        </w:rPr>
        <w:t xml:space="preserve"> </w:t>
      </w:r>
      <w:r w:rsidR="00F51D8B" w:rsidRPr="00F51D8B">
        <w:rPr>
          <w:i w:val="0"/>
        </w:rPr>
        <w:t>in both ME and AMF</w:t>
      </w:r>
      <w:r w:rsidR="007E0BBE">
        <w:rPr>
          <w:i w:val="0"/>
        </w:rPr>
        <w:t>.</w:t>
      </w:r>
    </w:p>
    <w:p w14:paraId="7A6381D3" w14:textId="5FF6AAB1" w:rsidR="00A84814" w:rsidRDefault="00A84814" w:rsidP="00684E44">
      <w:pPr>
        <w:pStyle w:val="Guidance"/>
        <w:ind w:firstLine="200"/>
        <w:rPr>
          <w:i w:val="0"/>
          <w:vertAlign w:val="subscript"/>
        </w:rPr>
      </w:pPr>
      <w:r w:rsidRPr="00A84814">
        <w:rPr>
          <w:i w:val="0"/>
        </w:rPr>
        <w:t xml:space="preserve">2. </w:t>
      </w:r>
      <w:r w:rsidR="00337784">
        <w:rPr>
          <w:i w:val="0"/>
        </w:rPr>
        <w:t xml:space="preserve">Select </w:t>
      </w:r>
      <w:r w:rsidR="008D0272">
        <w:rPr>
          <w:i w:val="0"/>
        </w:rPr>
        <w:t xml:space="preserve">a key delivery mechanism via </w:t>
      </w:r>
      <w:r w:rsidR="00337784">
        <w:rPr>
          <w:i w:val="0"/>
        </w:rPr>
        <w:t xml:space="preserve">a message </w:t>
      </w:r>
      <w:r w:rsidR="00CB63DB">
        <w:rPr>
          <w:i w:val="0"/>
        </w:rPr>
        <w:t>from</w:t>
      </w:r>
      <w:r w:rsidR="00337784">
        <w:rPr>
          <w:i w:val="0"/>
        </w:rPr>
        <w:t xml:space="preserve"> AMF </w:t>
      </w:r>
      <w:r w:rsidR="00CB63DB">
        <w:rPr>
          <w:i w:val="0"/>
        </w:rPr>
        <w:t>to</w:t>
      </w:r>
      <w:r w:rsidR="00337784">
        <w:rPr>
          <w:i w:val="0"/>
        </w:rPr>
        <w:t xml:space="preserve"> </w:t>
      </w:r>
      <w:r w:rsidR="00F51D8B">
        <w:rPr>
          <w:i w:val="0"/>
        </w:rPr>
        <w:t>SMF, and</w:t>
      </w:r>
      <w:r w:rsidR="00CB63DB">
        <w:rPr>
          <w:i w:val="0"/>
        </w:rPr>
        <w:t xml:space="preserve"> from SMF to UPF</w:t>
      </w:r>
      <w:r w:rsidR="00337784">
        <w:rPr>
          <w:i w:val="0"/>
        </w:rPr>
        <w:t xml:space="preserve"> to deliver K</w:t>
      </w:r>
      <w:r w:rsidR="00337784" w:rsidRPr="00337784">
        <w:rPr>
          <w:i w:val="0"/>
          <w:vertAlign w:val="subscript"/>
        </w:rPr>
        <w:t>UPF</w:t>
      </w:r>
      <w:r w:rsidR="00337784">
        <w:rPr>
          <w:i w:val="0"/>
          <w:vertAlign w:val="subscript"/>
        </w:rPr>
        <w:t xml:space="preserve"> </w:t>
      </w:r>
      <w:r w:rsidR="00337784" w:rsidRPr="00337784">
        <w:rPr>
          <w:i w:val="0"/>
        </w:rPr>
        <w:t>to UPF.</w:t>
      </w:r>
      <w:r w:rsidR="00337784">
        <w:rPr>
          <w:i w:val="0"/>
          <w:vertAlign w:val="subscript"/>
        </w:rPr>
        <w:t xml:space="preserve"> </w:t>
      </w:r>
    </w:p>
    <w:p w14:paraId="7349CB1A" w14:textId="3CF6262D" w:rsidR="00684E44" w:rsidRPr="00A84814" w:rsidRDefault="00684E44" w:rsidP="00684E44">
      <w:pPr>
        <w:pStyle w:val="Guidance"/>
        <w:ind w:firstLine="200"/>
        <w:rPr>
          <w:i w:val="0"/>
        </w:rPr>
      </w:pPr>
      <w:r w:rsidRPr="00684E44">
        <w:rPr>
          <w:i w:val="0"/>
        </w:rPr>
        <w:t xml:space="preserve">Note: </w:t>
      </w:r>
      <w:r>
        <w:rPr>
          <w:i w:val="0"/>
        </w:rPr>
        <w:t xml:space="preserve">key delivery mechanism could be coordinated with or decided in Stage 3. </w:t>
      </w:r>
    </w:p>
    <w:p w14:paraId="23F31CDD" w14:textId="77777777" w:rsidR="00337784" w:rsidRDefault="00337784" w:rsidP="001D12C5">
      <w:pPr>
        <w:ind w:left="1125" w:hanging="1125"/>
        <w:textAlignment w:val="baseline"/>
        <w:rPr>
          <w:rFonts w:ascii="Arial" w:hAnsi="Arial" w:cs="Arial"/>
          <w:color w:val="000000"/>
          <w:sz w:val="32"/>
          <w:szCs w:val="32"/>
          <w:lang w:eastAsia="en-GB"/>
        </w:rPr>
      </w:pPr>
    </w:p>
    <w:p w14:paraId="69FDD4BD" w14:textId="3CEB24E4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61622E" w14:paraId="1CF7FF30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68F890" w14:textId="77777777" w:rsidR="00164BFB" w:rsidRPr="0061622E" w:rsidRDefault="00164BFB" w:rsidP="00E64BEC">
            <w:pPr>
              <w:textAlignment w:val="baseline"/>
              <w:rPr>
                <w:lang w:eastAsia="en-GB"/>
              </w:rPr>
            </w:pPr>
            <w:r w:rsidRPr="0061622E">
              <w:rPr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ADA060" w14:textId="72FF08FC" w:rsidR="00164BFB" w:rsidRPr="0061622E" w:rsidRDefault="00CB63DB" w:rsidP="00E64BEC">
            <w:pPr>
              <w:textAlignment w:val="baseline"/>
              <w:rPr>
                <w:lang w:eastAsia="en-GB"/>
              </w:rPr>
            </w:pPr>
            <w:r w:rsidRPr="0061622E">
              <w:rPr>
                <w:lang w:eastAsia="en-GB"/>
              </w:rPr>
              <w:t>0.5</w:t>
            </w:r>
          </w:p>
        </w:tc>
      </w:tr>
      <w:tr w:rsidR="00164BFB" w:rsidRPr="0061622E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058B48" w14:textId="0F6BDC48" w:rsidR="00164BFB" w:rsidRPr="0061622E" w:rsidRDefault="00164BFB" w:rsidP="00E64BEC">
            <w:pPr>
              <w:jc w:val="both"/>
              <w:textAlignment w:val="baseline"/>
              <w:rPr>
                <w:lang w:eastAsia="en-GB"/>
              </w:rPr>
            </w:pPr>
            <w:r w:rsidRPr="0061622E">
              <w:rPr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AA2C2" w14:textId="3D08A11C" w:rsidR="00164BFB" w:rsidRPr="0061622E" w:rsidRDefault="00CB63DB" w:rsidP="00E64BEC">
            <w:pPr>
              <w:jc w:val="both"/>
              <w:textAlignment w:val="baseline"/>
              <w:rPr>
                <w:lang w:eastAsia="en-GB"/>
              </w:rPr>
            </w:pPr>
            <w:r w:rsidRPr="0061622E">
              <w:rPr>
                <w:lang w:eastAsia="en-GB"/>
              </w:rPr>
              <w:t>0.5</w:t>
            </w:r>
          </w:p>
        </w:tc>
      </w:tr>
    </w:tbl>
    <w:p w14:paraId="76B277D5" w14:textId="77777777" w:rsidR="00164BFB" w:rsidRDefault="00164BFB" w:rsidP="00164BFB"/>
    <w:p w14:paraId="57D633EC" w14:textId="050DB278" w:rsidR="00164BFB" w:rsidRPr="003068AA" w:rsidRDefault="00164BFB" w:rsidP="00164BFB">
      <w:r w:rsidRPr="003068AA">
        <w:t xml:space="preserve">Total TU estimates for the normative phase: </w:t>
      </w:r>
      <w:r w:rsidR="0061622E">
        <w:t>1.0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13AE9E7F" w:rsidR="00A84814" w:rsidRPr="00FF3F0C" w:rsidRDefault="00CB63DB" w:rsidP="00A84814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2434358" w:rsidR="00A84814" w:rsidRPr="00251D80" w:rsidRDefault="00A84814" w:rsidP="00A84814">
            <w:pPr>
              <w:pStyle w:val="TAL"/>
            </w:pPr>
          </w:p>
        </w:tc>
        <w:tc>
          <w:tcPr>
            <w:tcW w:w="2409" w:type="dxa"/>
          </w:tcPr>
          <w:p w14:paraId="3F9BA4C9" w14:textId="197B6C59" w:rsidR="00A84814" w:rsidRPr="00251D80" w:rsidRDefault="00A84814" w:rsidP="00A84814">
            <w:pPr>
              <w:pStyle w:val="TAL"/>
            </w:pPr>
          </w:p>
        </w:tc>
        <w:tc>
          <w:tcPr>
            <w:tcW w:w="993" w:type="dxa"/>
          </w:tcPr>
          <w:p w14:paraId="510D9A1F" w14:textId="2D032A75" w:rsidR="00A84814" w:rsidRPr="00FF141D" w:rsidRDefault="00A84814" w:rsidP="00A84814">
            <w:pPr>
              <w:pStyle w:val="TAL"/>
              <w:rPr>
                <w:i/>
                <w:iCs/>
              </w:rPr>
            </w:pPr>
          </w:p>
        </w:tc>
        <w:tc>
          <w:tcPr>
            <w:tcW w:w="1074" w:type="dxa"/>
          </w:tcPr>
          <w:p w14:paraId="11DE6EB5" w14:textId="6D808672" w:rsidR="00A84814" w:rsidRPr="00FF141D" w:rsidRDefault="00A84814" w:rsidP="00A84814">
            <w:pPr>
              <w:pStyle w:val="TAL"/>
              <w:rPr>
                <w:i/>
                <w:iCs/>
              </w:rPr>
            </w:pPr>
          </w:p>
        </w:tc>
        <w:tc>
          <w:tcPr>
            <w:tcW w:w="2186" w:type="dxa"/>
          </w:tcPr>
          <w:p w14:paraId="1D49C842" w14:textId="2EF86308" w:rsidR="00A84814" w:rsidRPr="00251D80" w:rsidRDefault="00A84814" w:rsidP="00A84814">
            <w:pPr>
              <w:pStyle w:val="TAL"/>
            </w:pPr>
            <w: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5E58ED1" w:rsidR="00A84814" w:rsidRPr="006C2E80" w:rsidRDefault="00CB63DB" w:rsidP="00A84814">
            <w:pPr>
              <w:pStyle w:val="Guidance"/>
              <w:spacing w:after="0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6A1B" w14:textId="63A0F690" w:rsidR="00A84814" w:rsidRDefault="00CB63DB" w:rsidP="007E0BBE">
            <w:pPr>
              <w:pStyle w:val="Guidance"/>
              <w:numPr>
                <w:ilvl w:val="0"/>
                <w:numId w:val="11"/>
              </w:numPr>
              <w:spacing w:after="0"/>
            </w:pPr>
            <w:r>
              <w:t xml:space="preserve">Add a </w:t>
            </w:r>
            <w:r w:rsidR="0061622E">
              <w:t>sub-</w:t>
            </w:r>
            <w:r>
              <w:t xml:space="preserve">clause in </w:t>
            </w:r>
            <w:r w:rsidR="0061622E">
              <w:t xml:space="preserve">Annex AA </w:t>
            </w:r>
            <w:r>
              <w:t xml:space="preserve">for PSK-based QUIC/TLS. </w:t>
            </w:r>
            <w:r w:rsidR="00A84814" w:rsidRPr="00AC2A0B" w:rsidDel="00D6037B">
              <w:t xml:space="preserve"> </w:t>
            </w:r>
          </w:p>
          <w:p w14:paraId="11F94B46" w14:textId="691EBEC6" w:rsidR="007E0BBE" w:rsidRDefault="007E0BBE" w:rsidP="007E0BBE">
            <w:pPr>
              <w:pStyle w:val="Guidance"/>
              <w:numPr>
                <w:ilvl w:val="0"/>
                <w:numId w:val="11"/>
              </w:numPr>
              <w:spacing w:after="0"/>
            </w:pPr>
            <w:r>
              <w:t>Update Annex A for K</w:t>
            </w:r>
            <w:r w:rsidRPr="007E0BBE">
              <w:rPr>
                <w:vertAlign w:val="subscript"/>
              </w:rPr>
              <w:t>UPF</w:t>
            </w:r>
            <w:r>
              <w:t xml:space="preserve"> key derivation</w:t>
            </w:r>
          </w:p>
          <w:p w14:paraId="292C4506" w14:textId="76A9732C" w:rsidR="007E0BBE" w:rsidRPr="006C2E80" w:rsidRDefault="007E0BBE" w:rsidP="007E0BBE">
            <w:pPr>
              <w:pStyle w:val="Guidance"/>
              <w:numPr>
                <w:ilvl w:val="0"/>
                <w:numId w:val="11"/>
              </w:numPr>
              <w:spacing w:after="0"/>
            </w:pPr>
            <w:r>
              <w:t>Update clause 6.2 for key hierarchy by adding K</w:t>
            </w:r>
            <w:r w:rsidRPr="007E0BBE">
              <w:rPr>
                <w:vertAlign w:val="subscript"/>
              </w:rPr>
              <w:t>UPF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2DA0F32" w:rsidR="00A84814" w:rsidRPr="006C2E80" w:rsidRDefault="00CB63DB" w:rsidP="00A84814">
            <w:pPr>
              <w:pStyle w:val="Guidance"/>
              <w:spacing w:after="0"/>
            </w:pPr>
            <w:r w:rsidRPr="00FF141D">
              <w:rPr>
                <w:iCs/>
              </w:rPr>
              <w:t>TSG#108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E25A05" w:rsidR="00A84814" w:rsidRPr="006C2E80" w:rsidRDefault="00CB63DB" w:rsidP="00A84814">
            <w:pPr>
              <w:pStyle w:val="Guidance"/>
              <w:spacing w:after="0"/>
            </w:pPr>
            <w:r>
              <w:t>2025/06</w:t>
            </w:r>
            <w:r w:rsidR="00A84814"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44E1646" w:rsidR="00A84814" w:rsidRPr="00A84814" w:rsidRDefault="00CB63DB" w:rsidP="00A84814">
      <w:pPr>
        <w:rPr>
          <w:i/>
          <w:color w:val="000000"/>
          <w:lang w:eastAsia="ja-JP"/>
        </w:rPr>
      </w:pPr>
      <w:r>
        <w:rPr>
          <w:i/>
          <w:color w:val="000000"/>
          <w:lang w:eastAsia="ja-JP"/>
        </w:rPr>
        <w:t xml:space="preserve">N/A, but </w:t>
      </w:r>
      <w:r w:rsidR="00A84814" w:rsidRPr="00A84814">
        <w:rPr>
          <w:i/>
          <w:color w:val="000000"/>
          <w:lang w:eastAsia="ja-JP"/>
        </w:rPr>
        <w:t xml:space="preserve">SA2 </w:t>
      </w:r>
      <w:r>
        <w:rPr>
          <w:i/>
          <w:color w:val="000000"/>
          <w:lang w:eastAsia="ja-JP"/>
        </w:rPr>
        <w:t>will be informed</w:t>
      </w:r>
      <w:r w:rsidR="00A84814" w:rsidRPr="00A84814">
        <w:rPr>
          <w:i/>
          <w:color w:val="000000"/>
          <w:lang w:eastAsia="ja-JP"/>
        </w:rPr>
        <w:t>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A131FC1" w:rsidR="001E489F" w:rsidRDefault="00CB63DB" w:rsidP="005875D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3B0647" w:rsidR="001E489F" w:rsidRDefault="00CB63DB" w:rsidP="005875D6">
            <w:pPr>
              <w:pStyle w:val="TAL"/>
            </w:pPr>
            <w:r>
              <w:t xml:space="preserve">Charter </w:t>
            </w:r>
            <w:r w:rsidR="00D209E2">
              <w:t>Communications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2A104F9" w:rsidR="001E489F" w:rsidRPr="00684E44" w:rsidRDefault="00524565" w:rsidP="005875D6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FA7BF" w:rsidR="001E489F" w:rsidRDefault="00A32E43" w:rsidP="005875D6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78C26A4" w:rsidR="001E489F" w:rsidRPr="00684E44" w:rsidRDefault="00684E44" w:rsidP="005875D6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3C1FB" w14:textId="77777777" w:rsidR="009C1274" w:rsidRDefault="009C1274">
      <w:r>
        <w:separator/>
      </w:r>
    </w:p>
  </w:endnote>
  <w:endnote w:type="continuationSeparator" w:id="0">
    <w:p w14:paraId="4040B5E7" w14:textId="77777777" w:rsidR="009C1274" w:rsidRDefault="009C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BD7EA" w14:textId="77777777" w:rsidR="009C1274" w:rsidRDefault="009C1274">
      <w:r>
        <w:separator/>
      </w:r>
    </w:p>
  </w:footnote>
  <w:footnote w:type="continuationSeparator" w:id="0">
    <w:p w14:paraId="676D0F98" w14:textId="77777777" w:rsidR="009C1274" w:rsidRDefault="009C1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abstractNum w:abstractNumId="9" w15:restartNumberingAfterBreak="0">
    <w:nsid w:val="6CAB1992"/>
    <w:multiLevelType w:val="hybridMultilevel"/>
    <w:tmpl w:val="4D507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379856">
    <w:abstractNumId w:val="7"/>
  </w:num>
  <w:num w:numId="2" w16cid:durableId="125926897">
    <w:abstractNumId w:val="3"/>
  </w:num>
  <w:num w:numId="3" w16cid:durableId="1710227776">
    <w:abstractNumId w:val="2"/>
  </w:num>
  <w:num w:numId="4" w16cid:durableId="6291656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01086932">
    <w:abstractNumId w:val="0"/>
  </w:num>
  <w:num w:numId="6" w16cid:durableId="476193107">
    <w:abstractNumId w:val="1"/>
  </w:num>
  <w:num w:numId="7" w16cid:durableId="742528037">
    <w:abstractNumId w:val="5"/>
  </w:num>
  <w:num w:numId="8" w16cid:durableId="574050256">
    <w:abstractNumId w:val="6"/>
  </w:num>
  <w:num w:numId="9" w16cid:durableId="1851092743">
    <w:abstractNumId w:val="8"/>
  </w:num>
  <w:num w:numId="10" w16cid:durableId="1512642535">
    <w:abstractNumId w:val="4"/>
  </w:num>
  <w:num w:numId="11" w16cid:durableId="2810371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801"/>
    <w:rsid w:val="000D6D78"/>
    <w:rsid w:val="000E0429"/>
    <w:rsid w:val="000E0437"/>
    <w:rsid w:val="000F3AF1"/>
    <w:rsid w:val="000F6E51"/>
    <w:rsid w:val="00102A24"/>
    <w:rsid w:val="001244C2"/>
    <w:rsid w:val="00127A8C"/>
    <w:rsid w:val="0013259C"/>
    <w:rsid w:val="00135831"/>
    <w:rsid w:val="001376A6"/>
    <w:rsid w:val="001424CD"/>
    <w:rsid w:val="0014270B"/>
    <w:rsid w:val="0014389B"/>
    <w:rsid w:val="0014413C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532"/>
    <w:rsid w:val="001D0B09"/>
    <w:rsid w:val="001D12C5"/>
    <w:rsid w:val="001E489F"/>
    <w:rsid w:val="001E6504"/>
    <w:rsid w:val="001E6729"/>
    <w:rsid w:val="001F7653"/>
    <w:rsid w:val="002070CB"/>
    <w:rsid w:val="002123AE"/>
    <w:rsid w:val="00221438"/>
    <w:rsid w:val="00232377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4C9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7784"/>
    <w:rsid w:val="00354553"/>
    <w:rsid w:val="003715B7"/>
    <w:rsid w:val="00376C60"/>
    <w:rsid w:val="0038179F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AFD"/>
    <w:rsid w:val="004A7002"/>
    <w:rsid w:val="004C4C9B"/>
    <w:rsid w:val="004D2FA0"/>
    <w:rsid w:val="004E1010"/>
    <w:rsid w:val="004E187C"/>
    <w:rsid w:val="004F4172"/>
    <w:rsid w:val="0050202A"/>
    <w:rsid w:val="00507903"/>
    <w:rsid w:val="0052032E"/>
    <w:rsid w:val="00521896"/>
    <w:rsid w:val="00522A80"/>
    <w:rsid w:val="00524565"/>
    <w:rsid w:val="00525CA6"/>
    <w:rsid w:val="00531A7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0E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22E"/>
    <w:rsid w:val="00616E18"/>
    <w:rsid w:val="00620287"/>
    <w:rsid w:val="00623AED"/>
    <w:rsid w:val="0062580F"/>
    <w:rsid w:val="00632157"/>
    <w:rsid w:val="00633971"/>
    <w:rsid w:val="006341C6"/>
    <w:rsid w:val="00640AEA"/>
    <w:rsid w:val="0064121E"/>
    <w:rsid w:val="00642894"/>
    <w:rsid w:val="00660354"/>
    <w:rsid w:val="006606DB"/>
    <w:rsid w:val="00665B9B"/>
    <w:rsid w:val="00672FC6"/>
    <w:rsid w:val="0067616E"/>
    <w:rsid w:val="00684E44"/>
    <w:rsid w:val="00690725"/>
    <w:rsid w:val="0069292F"/>
    <w:rsid w:val="00693606"/>
    <w:rsid w:val="00693D70"/>
    <w:rsid w:val="006975AE"/>
    <w:rsid w:val="006A0E66"/>
    <w:rsid w:val="006A1447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94D"/>
    <w:rsid w:val="007C767B"/>
    <w:rsid w:val="007D3C7C"/>
    <w:rsid w:val="007D687A"/>
    <w:rsid w:val="007E0BBE"/>
    <w:rsid w:val="007E1BA0"/>
    <w:rsid w:val="007F2297"/>
    <w:rsid w:val="007F55EC"/>
    <w:rsid w:val="007F6574"/>
    <w:rsid w:val="008147E5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676AC"/>
    <w:rsid w:val="00876BD5"/>
    <w:rsid w:val="00897C84"/>
    <w:rsid w:val="008A06BE"/>
    <w:rsid w:val="008A56FD"/>
    <w:rsid w:val="008B6626"/>
    <w:rsid w:val="008D0272"/>
    <w:rsid w:val="008D3DA6"/>
    <w:rsid w:val="008D5014"/>
    <w:rsid w:val="008D5DA3"/>
    <w:rsid w:val="008E70F7"/>
    <w:rsid w:val="008F12F9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274"/>
    <w:rsid w:val="009D5E48"/>
    <w:rsid w:val="009D6D9F"/>
    <w:rsid w:val="009E0B41"/>
    <w:rsid w:val="009E1910"/>
    <w:rsid w:val="009E44B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E43"/>
    <w:rsid w:val="00A37F80"/>
    <w:rsid w:val="00A46B3F"/>
    <w:rsid w:val="00A46F30"/>
    <w:rsid w:val="00A61169"/>
    <w:rsid w:val="00A63024"/>
    <w:rsid w:val="00A65602"/>
    <w:rsid w:val="00A82FCC"/>
    <w:rsid w:val="00A8479D"/>
    <w:rsid w:val="00A84814"/>
    <w:rsid w:val="00A906A4"/>
    <w:rsid w:val="00A97953"/>
    <w:rsid w:val="00AA574E"/>
    <w:rsid w:val="00AC2B78"/>
    <w:rsid w:val="00AC6920"/>
    <w:rsid w:val="00AD324E"/>
    <w:rsid w:val="00AD5B51"/>
    <w:rsid w:val="00AD7B78"/>
    <w:rsid w:val="00AE01E2"/>
    <w:rsid w:val="00AF4118"/>
    <w:rsid w:val="00B00077"/>
    <w:rsid w:val="00B01615"/>
    <w:rsid w:val="00B03107"/>
    <w:rsid w:val="00B10820"/>
    <w:rsid w:val="00B16E03"/>
    <w:rsid w:val="00B1749C"/>
    <w:rsid w:val="00B17833"/>
    <w:rsid w:val="00B30214"/>
    <w:rsid w:val="00B303F7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4326"/>
    <w:rsid w:val="00C03706"/>
    <w:rsid w:val="00C03F46"/>
    <w:rsid w:val="00C159BC"/>
    <w:rsid w:val="00C15A54"/>
    <w:rsid w:val="00C15C06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90F"/>
    <w:rsid w:val="00C63F06"/>
    <w:rsid w:val="00C6590B"/>
    <w:rsid w:val="00C7131F"/>
    <w:rsid w:val="00C76753"/>
    <w:rsid w:val="00C8586A"/>
    <w:rsid w:val="00CA2B4F"/>
    <w:rsid w:val="00CA5DB0"/>
    <w:rsid w:val="00CB63DB"/>
    <w:rsid w:val="00CC084E"/>
    <w:rsid w:val="00CC3F1D"/>
    <w:rsid w:val="00CC58ED"/>
    <w:rsid w:val="00D0135E"/>
    <w:rsid w:val="00D145EC"/>
    <w:rsid w:val="00D209E2"/>
    <w:rsid w:val="00D24B96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3CD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712"/>
    <w:rsid w:val="00F0218C"/>
    <w:rsid w:val="00F0251A"/>
    <w:rsid w:val="00F0393B"/>
    <w:rsid w:val="00F15D08"/>
    <w:rsid w:val="00F313DD"/>
    <w:rsid w:val="00F34870"/>
    <w:rsid w:val="00F378BE"/>
    <w:rsid w:val="00F43120"/>
    <w:rsid w:val="00F44FF2"/>
    <w:rsid w:val="00F51D8B"/>
    <w:rsid w:val="00F64378"/>
    <w:rsid w:val="00F67FC3"/>
    <w:rsid w:val="00F763A4"/>
    <w:rsid w:val="00F80D67"/>
    <w:rsid w:val="00F81CF2"/>
    <w:rsid w:val="00F82A04"/>
    <w:rsid w:val="00F83DF3"/>
    <w:rsid w:val="00F878D2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Tao Wan</cp:lastModifiedBy>
  <cp:revision>12</cp:revision>
  <cp:lastPrinted>2001-04-23T09:30:00Z</cp:lastPrinted>
  <dcterms:created xsi:type="dcterms:W3CDTF">2025-02-02T19:55:00Z</dcterms:created>
  <dcterms:modified xsi:type="dcterms:W3CDTF">2025-02-08T17:18:00Z</dcterms:modified>
</cp:coreProperties>
</file>